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2020年度全国教育科学规划国家重大招标和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重点课题指南</w:t>
      </w:r>
    </w:p>
    <w:bookmarkEnd w:id="0"/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重大招标课题</w:t>
      </w:r>
    </w:p>
    <w:p>
      <w:pPr>
        <w:spacing w:before="156" w:beforeLines="50" w:after="156" w:afterLines="50"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中国特色社会主义教育制度优势及转化为治理效能的实现路径研究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新时代爱国主义教育长效机制研究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职业教育类型特征及其与普通教育“双轨制”“双通制”体系构建研究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新时代提升中国参与全球教育治理的能力及策略研究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教育现代化背景下学生美育评价研究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重点课题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完善党对教育工作全面领导的制度研究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我国教育现代化发展的战略布局与推进策略研究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新时代提高教师地位的政策体系研究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9.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学生信息素养的内涵、标准与评价体系研究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生均公用经费标准与经济社会发展关系研究</w:t>
      </w:r>
    </w:p>
    <w:p>
      <w:pPr>
        <w:spacing w:line="60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新型高水平民办大学的制度创新与政策保障研究</w:t>
      </w:r>
    </w:p>
    <w:p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构建与教育治理现代化相匹配的教育法律制度体系研究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把制度自信教育融入国民教育全过程的实践路径研究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促进教育治理能力提升的教育评价制度改革研究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15. </w:t>
      </w:r>
      <w:r>
        <w:rPr>
          <w:rFonts w:hint="eastAsia" w:ascii="仿宋_GB2312" w:eastAsia="仿宋_GB2312"/>
          <w:sz w:val="32"/>
          <w:szCs w:val="32"/>
        </w:rPr>
        <w:t>我国学前教育可持续发展的路径与对策研究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 新时代“五育”融合实践路径与评价改革研究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7. </w:t>
      </w:r>
      <w:r>
        <w:rPr>
          <w:rFonts w:hint="eastAsia" w:ascii="仿宋_GB2312" w:eastAsia="仿宋_GB2312"/>
          <w:sz w:val="32"/>
          <w:szCs w:val="32"/>
        </w:rPr>
        <w:t>适应新课程改革和新高考改革的普通高中育人方式变革研究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 中西部地区推进高考综合改革研究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. “十四五”期间我国高等教育发展目标与推进策略研究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. 高校服务国家重大战略的实现路径研究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面向2035中国教育对外开放战略及推进策略研究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粤港澳大湾区教育一体化发展的问题与制度创新研究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新时代民办教育发展战略和治理创新研究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民族地区国家通用语言文字普及攻坚研究</w:t>
      </w:r>
    </w:p>
    <w:p>
      <w:pPr>
        <w:spacing w:line="54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. 学生身体素质提升的有效路径研究</w:t>
      </w:r>
    </w:p>
    <w:p>
      <w:pPr>
        <w:spacing w:line="540" w:lineRule="exact"/>
        <w:rPr>
          <w:rFonts w:ascii="华文中宋" w:hAnsi="华文中宋" w:eastAsia="华文中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8C"/>
    <w:rsid w:val="009E648C"/>
    <w:rsid w:val="00DC5D99"/>
    <w:rsid w:val="24E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2020-02-10T01:07:00Z</dcterms:created>
  <dc:creator>xmz</dc:creator>
  <cp:lastModifiedBy>25481</cp:lastModifiedBy>
  <dcterms:modified xsi:type="dcterms:W3CDTF">2020-07-20T01:50:30Z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